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CC694" w14:textId="77777777" w:rsidR="00FE5660" w:rsidRDefault="001E510D" w:rsidP="00A959C7">
      <w:pPr>
        <w:spacing w:before="100" w:beforeAutospacing="1" w:after="100" w:afterAutospacing="1"/>
        <w:contextualSpacing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Wyzwania dla polskiego biznesu</w:t>
      </w:r>
    </w:p>
    <w:p w14:paraId="7A54613A" w14:textId="57DFB919" w:rsidR="00A959C7" w:rsidRDefault="00FE5660" w:rsidP="00A959C7">
      <w:pPr>
        <w:spacing w:before="100" w:beforeAutospacing="1" w:after="100" w:afterAutospacing="1"/>
        <w:contextualSpacing/>
        <w:rPr>
          <w:rFonts w:cs="Calibri"/>
          <w:b/>
          <w:bCs/>
          <w:i/>
          <w:iCs/>
          <w:sz w:val="28"/>
          <w:szCs w:val="28"/>
        </w:rPr>
      </w:pPr>
      <w:r w:rsidRPr="00FE5660">
        <w:rPr>
          <w:rFonts w:cs="Calibri"/>
          <w:b/>
          <w:bCs/>
          <w:i/>
          <w:iCs/>
          <w:sz w:val="28"/>
          <w:szCs w:val="28"/>
        </w:rPr>
        <w:t xml:space="preserve">Zatory płatnicze i spowolnienie gospodarcze </w:t>
      </w:r>
    </w:p>
    <w:p w14:paraId="61CFC299" w14:textId="77777777" w:rsidR="00F04D36" w:rsidRDefault="00F04D36" w:rsidP="00A959C7">
      <w:pPr>
        <w:spacing w:before="100" w:beforeAutospacing="1" w:after="100" w:afterAutospacing="1"/>
        <w:contextualSpacing/>
        <w:rPr>
          <w:rFonts w:cs="Calibri"/>
          <w:b/>
          <w:bCs/>
          <w:i/>
          <w:iCs/>
          <w:sz w:val="28"/>
          <w:szCs w:val="28"/>
        </w:rPr>
      </w:pPr>
    </w:p>
    <w:p w14:paraId="272C45C1" w14:textId="77777777" w:rsidR="00F04D36" w:rsidRPr="00F04D36" w:rsidRDefault="00F04D36" w:rsidP="00F04D36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 w:rsidRPr="00F04D36">
        <w:rPr>
          <w:rFonts w:cs="Calibri"/>
          <w:sz w:val="24"/>
          <w:szCs w:val="24"/>
        </w:rPr>
        <w:t>Zatory płatnicze, spadki w produkcji budowlano-montażowej czy niepokojące sygnały z europejskich rynków to tylko niektóre z czynników, które mogą wpłynąć na kondycję firm. W kontekście gorszej koniunktury gospodarczej niezwykle istotne staje się zarządzanie płynnością finansową i wybór narzędzi, które pozwolą przetrwać trudniejsze czasy.</w:t>
      </w:r>
    </w:p>
    <w:p w14:paraId="687CB5C2" w14:textId="77777777" w:rsidR="00F04D36" w:rsidRPr="00F04D36" w:rsidRDefault="00F04D36" w:rsidP="00F04D36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1355B99B" w14:textId="696090A7" w:rsidR="00F04D36" w:rsidRPr="00F04D36" w:rsidRDefault="00F04D36" w:rsidP="00F04D36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 w:rsidRPr="00F04D36">
        <w:rPr>
          <w:rFonts w:cs="Calibri"/>
          <w:sz w:val="24"/>
          <w:szCs w:val="24"/>
        </w:rPr>
        <w:t>Najnowsze dane GUS dotyczące produkcji budowlano-montażowej wskazują na trudności w sektorze budowlanym. Październikowy odczyt pokazał spadek o 9,6% r/r, co wyraźnie odbiega od prognoz ekonomistów, którzy spodziewali się spadku na poziomie -5%. Co więcej, niższe wolumeny odnotowano we wszystkich kluczowych kategoriach</w:t>
      </w:r>
      <w:r>
        <w:rPr>
          <w:rFonts w:cs="Calibri"/>
          <w:sz w:val="24"/>
          <w:szCs w:val="24"/>
        </w:rPr>
        <w:t xml:space="preserve"> –</w:t>
      </w:r>
      <w:r w:rsidRPr="00F04D36">
        <w:rPr>
          <w:rFonts w:cs="Calibri"/>
          <w:sz w:val="24"/>
          <w:szCs w:val="24"/>
        </w:rPr>
        <w:t xml:space="preserve"> budowie budynków, inżynierii lądowej oraz budownictwie specjalistycznym.</w:t>
      </w:r>
    </w:p>
    <w:p w14:paraId="5ABE38E3" w14:textId="77777777" w:rsidR="00F04D36" w:rsidRPr="00F04D36" w:rsidRDefault="00F04D36" w:rsidP="00F04D36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4E99448A" w14:textId="5879D609" w:rsidR="00F04D36" w:rsidRPr="00F04D36" w:rsidRDefault="00F04D36" w:rsidP="00F04D36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 w:rsidRPr="00F04D36">
        <w:rPr>
          <w:rFonts w:cs="Calibri"/>
          <w:sz w:val="24"/>
          <w:szCs w:val="24"/>
        </w:rPr>
        <w:t xml:space="preserve">Analitycy z biura maklerskiego BNP </w:t>
      </w:r>
      <w:proofErr w:type="spellStart"/>
      <w:r w:rsidRPr="00F04D36">
        <w:rPr>
          <w:rFonts w:cs="Calibri"/>
          <w:sz w:val="24"/>
          <w:szCs w:val="24"/>
        </w:rPr>
        <w:t>Paribas</w:t>
      </w:r>
      <w:proofErr w:type="spellEnd"/>
      <w:r w:rsidRPr="00F04D36">
        <w:rPr>
          <w:rFonts w:cs="Calibri"/>
          <w:sz w:val="24"/>
          <w:szCs w:val="24"/>
        </w:rPr>
        <w:t xml:space="preserve"> wskazują, że główną przyczyną tych spadków jest okres przejściowy </w:t>
      </w:r>
      <w:r>
        <w:rPr>
          <w:rFonts w:cs="Calibri"/>
          <w:sz w:val="24"/>
          <w:szCs w:val="24"/>
        </w:rPr>
        <w:t>po</w:t>
      </w:r>
      <w:r w:rsidRPr="00F04D36">
        <w:rPr>
          <w:rFonts w:cs="Calibri"/>
          <w:sz w:val="24"/>
          <w:szCs w:val="24"/>
        </w:rPr>
        <w:t>między perspektywami finansowymi Unii Europejskiej, który opóźnił realizację projektów infrastrukturalnych. Wraz z większym napływem funduszy z Brukseli w kolejnych miesiącach sytuacja może poprawić się, ale obecne trudności powodują, że wiele firm wstrzymuje inwestycje, ogranicza działalność lub zmaga się z wyzwaniami w regulowaniu zobowiązań.</w:t>
      </w:r>
      <w:r>
        <w:rPr>
          <w:rFonts w:cs="Calibri"/>
          <w:sz w:val="24"/>
          <w:szCs w:val="24"/>
        </w:rPr>
        <w:t xml:space="preserve"> </w:t>
      </w:r>
    </w:p>
    <w:p w14:paraId="68E7476F" w14:textId="77777777" w:rsidR="00F04D36" w:rsidRPr="00F04D36" w:rsidRDefault="00F04D36" w:rsidP="00F04D36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0BAC5D58" w14:textId="77777777" w:rsidR="00F04D36" w:rsidRPr="00F04D36" w:rsidRDefault="00F04D36" w:rsidP="00F04D36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 w:rsidRPr="00F04D36">
        <w:rPr>
          <w:rFonts w:cs="Calibri"/>
          <w:sz w:val="24"/>
          <w:szCs w:val="24"/>
        </w:rPr>
        <w:t xml:space="preserve">Spowolnienie w budownictwie nie pozostaje bez wpływu na przemysły powiązane. Firmy zajmujące się dostarczaniem materiałów budowlanych, transportem czy </w:t>
      </w:r>
      <w:proofErr w:type="spellStart"/>
      <w:r w:rsidRPr="00F04D36">
        <w:rPr>
          <w:rFonts w:cs="Calibri"/>
          <w:sz w:val="24"/>
          <w:szCs w:val="24"/>
        </w:rPr>
        <w:t>wykończeniami</w:t>
      </w:r>
      <w:proofErr w:type="spellEnd"/>
      <w:r w:rsidRPr="00F04D36">
        <w:rPr>
          <w:rFonts w:cs="Calibri"/>
          <w:sz w:val="24"/>
          <w:szCs w:val="24"/>
        </w:rPr>
        <w:t xml:space="preserve"> również odczuwają zmniejszenie popytu. Zatory płatnicze w tym sektorze stają się coraz poważniejszym wyzwaniem, ponieważ opóźnienia w realizacji projektów często prowadzą do wydłużania terminów płatności dla podwykonawców i dostawców.</w:t>
      </w:r>
    </w:p>
    <w:p w14:paraId="6E85C1A6" w14:textId="77777777" w:rsidR="00F04D36" w:rsidRPr="00F04D36" w:rsidRDefault="00F04D36" w:rsidP="00F04D36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1C62DE7D" w14:textId="77777777" w:rsidR="00F04D36" w:rsidRPr="00F04D36" w:rsidRDefault="00F04D36" w:rsidP="00F04D36">
      <w:pPr>
        <w:spacing w:before="100" w:beforeAutospacing="1" w:after="100" w:afterAutospacing="1"/>
        <w:contextualSpacing/>
        <w:jc w:val="both"/>
        <w:rPr>
          <w:rFonts w:cs="Calibri"/>
          <w:b/>
          <w:bCs/>
          <w:sz w:val="24"/>
          <w:szCs w:val="24"/>
        </w:rPr>
      </w:pPr>
      <w:r w:rsidRPr="00F04D36">
        <w:rPr>
          <w:rFonts w:cs="Calibri"/>
          <w:b/>
          <w:bCs/>
          <w:sz w:val="24"/>
          <w:szCs w:val="24"/>
        </w:rPr>
        <w:t>Realne zagrożenie dla firm</w:t>
      </w:r>
    </w:p>
    <w:p w14:paraId="17FE2B84" w14:textId="77777777" w:rsidR="00F04D36" w:rsidRPr="00F04D36" w:rsidRDefault="00F04D36" w:rsidP="00F04D36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 w:rsidRPr="00F04D36">
        <w:rPr>
          <w:rFonts w:cs="Calibri"/>
          <w:sz w:val="24"/>
          <w:szCs w:val="24"/>
        </w:rPr>
        <w:t>Zatory płatnicze są jednym z najtrudniejszych wyzwań, z jakimi musi mierzyć się polski biznes, szczególnie w okresach spowolnienia gospodarczego. Według danych rynkowych, w Polsce średni czas oczekiwania na zapłatę faktury wciąż wynosi około 60 dni, a w niektórych sektorach – znacznie dłużej. Problem nasila się w sytuacji, gdy spada aktywność gospodarcza, co wyraźnie widać na przykładzie ostatnich odczytów wskaźnika PMI dla strefy euro.</w:t>
      </w:r>
    </w:p>
    <w:p w14:paraId="0CD83315" w14:textId="77777777" w:rsidR="00F04D36" w:rsidRPr="00F04D36" w:rsidRDefault="00F04D36" w:rsidP="00F04D36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5D2C7515" w14:textId="77777777" w:rsidR="00F04D36" w:rsidRPr="00F04D36" w:rsidRDefault="00F04D36" w:rsidP="00F04D36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 w:rsidRPr="00F04D36">
        <w:rPr>
          <w:rFonts w:cs="Calibri"/>
          <w:sz w:val="24"/>
          <w:szCs w:val="24"/>
        </w:rPr>
        <w:t xml:space="preserve">W listopadzie wskaźnik ten spadł do 48,1 pkt, co oznacza najniższy poziom od 10 miesięcy. Pogorszenie sytuacji dotknęło zarówno przemysł, jak i sektor usługowy. Słabsza koniunktura w Europie przekłada się na polskie firmy, które współpracują z partnerami zagranicznymi, zwłaszcza w przemyśle przetwórczym, gdzie odczyt PMI wyniósł zaledwie 45,1 pkt. W efekcie </w:t>
      </w:r>
      <w:r w:rsidRPr="00F04D36">
        <w:rPr>
          <w:rFonts w:cs="Calibri"/>
          <w:sz w:val="24"/>
          <w:szCs w:val="24"/>
        </w:rPr>
        <w:lastRenderedPageBreak/>
        <w:t>wzrasta ryzyko niewypłacalności kontrahentów i opóźnień w realizacji zobowiązań finansowych.</w:t>
      </w:r>
    </w:p>
    <w:p w14:paraId="0D949946" w14:textId="77777777" w:rsidR="00F04D36" w:rsidRPr="00F04D36" w:rsidRDefault="00F04D36" w:rsidP="00F04D36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18C8C276" w14:textId="746D3539" w:rsidR="00F04D36" w:rsidRPr="00F04D36" w:rsidRDefault="00F04D36" w:rsidP="00F04D36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 w:rsidRPr="00F04D36">
        <w:rPr>
          <w:rFonts w:cs="Calibri"/>
          <w:sz w:val="24"/>
          <w:szCs w:val="24"/>
        </w:rPr>
        <w:t xml:space="preserve">W obliczu rosnących zatorów płatniczych, firmy poszukują skutecznych narzędzi, które pomogą im utrzymać płynność finansową. Jednym z takich rozwiązań jest faktoring – usługa, która umożliwia szybkie uzyskanie środków finansowych z wystawionych faktur. Dzięki temu przedsiębiorcy mogą uniezależnić się od terminów płatności swoich kontrahentów i skupić się na rozwijaniu działalności. Faktoring sprawdza się szczególnie w sektorach </w:t>
      </w:r>
      <w:r w:rsidR="00072B15">
        <w:rPr>
          <w:rFonts w:cs="Calibri"/>
          <w:sz w:val="24"/>
          <w:szCs w:val="24"/>
        </w:rPr>
        <w:t>w których gotówka jest zamrożona na dłuższy czas</w:t>
      </w:r>
      <w:r w:rsidR="004A3E1E">
        <w:rPr>
          <w:rFonts w:cs="Calibri"/>
          <w:sz w:val="24"/>
          <w:szCs w:val="24"/>
        </w:rPr>
        <w:t>,</w:t>
      </w:r>
      <w:r w:rsidR="00072B15">
        <w:rPr>
          <w:rFonts w:cs="Calibri"/>
          <w:sz w:val="24"/>
          <w:szCs w:val="24"/>
        </w:rPr>
        <w:t xml:space="preserve"> np. handel, produkcja</w:t>
      </w:r>
      <w:r w:rsidRPr="00F04D36">
        <w:rPr>
          <w:rFonts w:cs="Calibri"/>
          <w:sz w:val="24"/>
          <w:szCs w:val="24"/>
        </w:rPr>
        <w:t xml:space="preserve"> czy przemysł. Oferuje on elastyczne podejście, które pozwala firmom na bieżące regulowanie zobowiązań wobec dostawców i pracowników, minimalizując ryzyko utraty płynności. Co istotne, usługa ta jest dostępna nie tylko dla dużych korporacji, ale również dla małych i średnich przedsiębiorstw, które często mają ograniczone możliwości finansowania.</w:t>
      </w:r>
    </w:p>
    <w:p w14:paraId="68D8ECE6" w14:textId="77777777" w:rsidR="00F04D36" w:rsidRPr="00F04D36" w:rsidRDefault="00F04D36" w:rsidP="00F04D36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6505310F" w14:textId="77777777" w:rsidR="00F04D36" w:rsidRPr="00F04D36" w:rsidRDefault="00F04D36" w:rsidP="00F04D36">
      <w:pPr>
        <w:spacing w:before="100" w:beforeAutospacing="1" w:after="100" w:afterAutospacing="1"/>
        <w:contextualSpacing/>
        <w:jc w:val="both"/>
        <w:rPr>
          <w:rFonts w:cs="Calibri"/>
          <w:b/>
          <w:bCs/>
          <w:sz w:val="24"/>
          <w:szCs w:val="24"/>
        </w:rPr>
      </w:pPr>
      <w:r w:rsidRPr="00F04D36">
        <w:rPr>
          <w:rFonts w:cs="Calibri"/>
          <w:b/>
          <w:bCs/>
          <w:sz w:val="24"/>
          <w:szCs w:val="24"/>
        </w:rPr>
        <w:t>Produkcja przemysłowa – promyk nadziei?</w:t>
      </w:r>
    </w:p>
    <w:p w14:paraId="63F78621" w14:textId="77777777" w:rsidR="00F04D36" w:rsidRPr="00F04D36" w:rsidRDefault="00F04D36" w:rsidP="00F04D36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 w:rsidRPr="00F04D36">
        <w:rPr>
          <w:rFonts w:cs="Calibri"/>
          <w:sz w:val="24"/>
          <w:szCs w:val="24"/>
        </w:rPr>
        <w:t>Na tle negatywnych sygnałów z rynku budowlanego i europejskiej gospodarki, dane dotyczące polskiej produkcji przemysłowej w październiku zaskoczyły pozytywnie. Wzrost na poziomie 4,7% r/r był znacznie wyższy od oczekiwań analityków, którzy prognozowali jedynie 1,8%. Szczególnie dobre wyniki odnotowano w produkcji sprzętu transportowego, wyrobów elektronicznych, papieru, mebli oraz artykułów spożywczych. Nie oznacza to jednak, że przemysł jest wolny od wyzwań. Ceny produkcji przemysłowej spadły o 5,2% r/r, co wskazuje na presję cenową i możliwe trudności z utrzymaniem marż. Dodatkowo, spadek zatrudnienia o 0,5% r/r pokazuje, że firmy ostrożnie podchodzą do rozwoju działalności, przygotowując się na ewentualne pogorszenie sytuacji w nadchodzących miesiącach.</w:t>
      </w:r>
    </w:p>
    <w:p w14:paraId="29E18717" w14:textId="77777777" w:rsidR="00F04D36" w:rsidRPr="00F04D36" w:rsidRDefault="00F04D36" w:rsidP="00F04D36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4C0854CC" w14:textId="210D9E5A" w:rsidR="00F04D36" w:rsidRPr="00F04D36" w:rsidRDefault="00F04D36" w:rsidP="00F04D36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 w:rsidRPr="00F04D36">
        <w:rPr>
          <w:rFonts w:cs="Calibri"/>
          <w:sz w:val="24"/>
          <w:szCs w:val="24"/>
        </w:rPr>
        <w:t>Wyzwania, przed którymi stoją polscy przedsiębiorcy, wymagają aktywnego zarządzania ryzykiem i elastyczności w podejściu do finansowania. W obliczu zatorów płatniczych i spowolnienia gospodarczego</w:t>
      </w:r>
      <w:r>
        <w:rPr>
          <w:rFonts w:cs="Calibri"/>
          <w:sz w:val="24"/>
          <w:szCs w:val="24"/>
        </w:rPr>
        <w:t>,</w:t>
      </w:r>
      <w:r w:rsidRPr="00F04D36">
        <w:rPr>
          <w:rFonts w:cs="Calibri"/>
          <w:sz w:val="24"/>
          <w:szCs w:val="24"/>
        </w:rPr>
        <w:t xml:space="preserve"> kluczowe znaczenie ma optymalizacja płynności finansowej. Rozwiązania takie jak faktoring mogą okazać się nie tylko wsparciem w codziennej działalności, ale również narzędziem, które pozwoli firmom skupić się na długoterminowym rozwoju. Z drugiej strony, przedsiębiorcy powinni na bieżąco monitorować sytuację na rynku i dostosowywać swoje strategie do zmieniających się warunków. Czy napływ środków unijnych poprawi sytuację w budownictwie? Czy produkcja przemysłowa utrzyma pozytywną dynamikę? Odpowiedzi na te pytania będą kluczowe dla określenia dalszych perspektyw polskiej gospodarki.</w:t>
      </w:r>
    </w:p>
    <w:p w14:paraId="32B4E145" w14:textId="77777777" w:rsidR="00F04D36" w:rsidRPr="00F04D36" w:rsidRDefault="00F04D36" w:rsidP="00F04D36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191956B8" w14:textId="7CFA72BF" w:rsidR="005F11C9" w:rsidRPr="00D9709F" w:rsidRDefault="005F11C9" w:rsidP="00F04D36">
      <w:pPr>
        <w:spacing w:before="100" w:beforeAutospacing="1" w:after="100" w:afterAutospacing="1"/>
        <w:contextualSpacing/>
        <w:jc w:val="right"/>
        <w:rPr>
          <w:rFonts w:cs="Calibri"/>
          <w:b/>
          <w:bCs/>
          <w:i/>
          <w:iCs/>
          <w:sz w:val="23"/>
          <w:szCs w:val="23"/>
        </w:rPr>
      </w:pPr>
      <w:r w:rsidRPr="00D9709F">
        <w:rPr>
          <w:rFonts w:cs="Calibri"/>
          <w:b/>
          <w:bCs/>
          <w:i/>
          <w:iCs/>
          <w:sz w:val="23"/>
          <w:szCs w:val="23"/>
        </w:rPr>
        <w:t>Paweł Kacprzak</w:t>
      </w:r>
    </w:p>
    <w:p w14:paraId="3B4DBBBE" w14:textId="5640B135" w:rsidR="005F11C9" w:rsidRPr="00D9709F" w:rsidRDefault="005F11C9" w:rsidP="005F11C9">
      <w:pPr>
        <w:spacing w:before="100" w:beforeAutospacing="1" w:after="100" w:afterAutospacing="1"/>
        <w:contextualSpacing/>
        <w:jc w:val="right"/>
        <w:rPr>
          <w:rFonts w:cs="Calibri"/>
          <w:b/>
          <w:bCs/>
          <w:i/>
          <w:iCs/>
          <w:sz w:val="23"/>
          <w:szCs w:val="23"/>
        </w:rPr>
      </w:pPr>
      <w:r w:rsidRPr="00D9709F">
        <w:rPr>
          <w:rFonts w:cs="Calibri"/>
          <w:b/>
          <w:bCs/>
          <w:i/>
          <w:iCs/>
          <w:sz w:val="23"/>
          <w:szCs w:val="23"/>
        </w:rPr>
        <w:t>Członek zarządu</w:t>
      </w:r>
    </w:p>
    <w:p w14:paraId="2C2646D8" w14:textId="2280AE3A" w:rsidR="007C430C" w:rsidRPr="00F04D36" w:rsidRDefault="005F11C9" w:rsidP="00F04D36">
      <w:pPr>
        <w:spacing w:before="100" w:beforeAutospacing="1" w:after="100" w:afterAutospacing="1"/>
        <w:contextualSpacing/>
        <w:jc w:val="right"/>
        <w:rPr>
          <w:rFonts w:cs="Calibri"/>
          <w:b/>
          <w:bCs/>
          <w:i/>
          <w:iCs/>
          <w:sz w:val="23"/>
          <w:szCs w:val="23"/>
        </w:rPr>
      </w:pPr>
      <w:r w:rsidRPr="00D9709F">
        <w:rPr>
          <w:rFonts w:cs="Calibri"/>
          <w:b/>
          <w:bCs/>
          <w:i/>
          <w:iCs/>
          <w:sz w:val="23"/>
          <w:szCs w:val="23"/>
        </w:rPr>
        <w:t xml:space="preserve">BNP </w:t>
      </w:r>
      <w:proofErr w:type="spellStart"/>
      <w:r w:rsidRPr="00D9709F">
        <w:rPr>
          <w:rFonts w:cs="Calibri"/>
          <w:b/>
          <w:bCs/>
          <w:i/>
          <w:iCs/>
          <w:sz w:val="23"/>
          <w:szCs w:val="23"/>
        </w:rPr>
        <w:t>Paribas</w:t>
      </w:r>
      <w:proofErr w:type="spellEnd"/>
      <w:r w:rsidRPr="00D9709F">
        <w:rPr>
          <w:rFonts w:cs="Calibri"/>
          <w:b/>
          <w:bCs/>
          <w:i/>
          <w:iCs/>
          <w:sz w:val="23"/>
          <w:szCs w:val="23"/>
        </w:rPr>
        <w:t xml:space="preserve"> Faktoring</w:t>
      </w:r>
    </w:p>
    <w:sectPr w:rsidR="007C430C" w:rsidRPr="00F04D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08E78" w14:textId="77777777" w:rsidR="004F1E6E" w:rsidRDefault="004F1E6E" w:rsidP="007C430C">
      <w:pPr>
        <w:spacing w:after="0" w:line="240" w:lineRule="auto"/>
      </w:pPr>
      <w:r>
        <w:separator/>
      </w:r>
    </w:p>
  </w:endnote>
  <w:endnote w:type="continuationSeparator" w:id="0">
    <w:p w14:paraId="4C23A0B4" w14:textId="77777777" w:rsidR="004F1E6E" w:rsidRDefault="004F1E6E" w:rsidP="007C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C8CBC" w14:textId="77777777" w:rsidR="004F1E6E" w:rsidRDefault="004F1E6E" w:rsidP="007C430C">
      <w:pPr>
        <w:spacing w:after="0" w:line="240" w:lineRule="auto"/>
      </w:pPr>
      <w:r>
        <w:separator/>
      </w:r>
    </w:p>
  </w:footnote>
  <w:footnote w:type="continuationSeparator" w:id="0">
    <w:p w14:paraId="3BE2F47A" w14:textId="77777777" w:rsidR="004F1E6E" w:rsidRDefault="004F1E6E" w:rsidP="007C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68E8C" w14:textId="77777777" w:rsidR="007C430C" w:rsidRDefault="001D716F" w:rsidP="007C430C">
    <w:pPr>
      <w:pStyle w:val="Nagwek"/>
      <w:jc w:val="center"/>
    </w:pPr>
    <w:r w:rsidRPr="00B4370B">
      <w:rPr>
        <w:noProof/>
        <w:lang w:eastAsia="pl-PL"/>
      </w:rPr>
      <w:drawing>
        <wp:inline distT="0" distB="0" distL="0" distR="0" wp14:anchorId="680EEA29" wp14:editId="1F3A0BE6">
          <wp:extent cx="3611880" cy="101346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188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30C"/>
    <w:rsid w:val="00027152"/>
    <w:rsid w:val="00050937"/>
    <w:rsid w:val="00051D9D"/>
    <w:rsid w:val="00052D6A"/>
    <w:rsid w:val="0005686E"/>
    <w:rsid w:val="00060453"/>
    <w:rsid w:val="00061570"/>
    <w:rsid w:val="00062187"/>
    <w:rsid w:val="00072B15"/>
    <w:rsid w:val="00074E94"/>
    <w:rsid w:val="00093719"/>
    <w:rsid w:val="000B3BB9"/>
    <w:rsid w:val="000B486F"/>
    <w:rsid w:val="000B73EC"/>
    <w:rsid w:val="000D6C4F"/>
    <w:rsid w:val="000E0E4F"/>
    <w:rsid w:val="000E1D5D"/>
    <w:rsid w:val="000E44F0"/>
    <w:rsid w:val="00100274"/>
    <w:rsid w:val="0010191C"/>
    <w:rsid w:val="001021FC"/>
    <w:rsid w:val="00106D25"/>
    <w:rsid w:val="00124090"/>
    <w:rsid w:val="00141BAD"/>
    <w:rsid w:val="00144540"/>
    <w:rsid w:val="001543F0"/>
    <w:rsid w:val="00157CAF"/>
    <w:rsid w:val="00161687"/>
    <w:rsid w:val="001662C7"/>
    <w:rsid w:val="001837F1"/>
    <w:rsid w:val="0018583B"/>
    <w:rsid w:val="0019498E"/>
    <w:rsid w:val="001D5A11"/>
    <w:rsid w:val="001D6E61"/>
    <w:rsid w:val="001D716F"/>
    <w:rsid w:val="001E1C13"/>
    <w:rsid w:val="001E26C3"/>
    <w:rsid w:val="001E510D"/>
    <w:rsid w:val="001E64FE"/>
    <w:rsid w:val="001F7380"/>
    <w:rsid w:val="002070FE"/>
    <w:rsid w:val="00210ED8"/>
    <w:rsid w:val="00216D49"/>
    <w:rsid w:val="00217494"/>
    <w:rsid w:val="0022109C"/>
    <w:rsid w:val="00222A28"/>
    <w:rsid w:val="002231DA"/>
    <w:rsid w:val="00232807"/>
    <w:rsid w:val="00232AE6"/>
    <w:rsid w:val="002458C8"/>
    <w:rsid w:val="00285523"/>
    <w:rsid w:val="00291628"/>
    <w:rsid w:val="002923D2"/>
    <w:rsid w:val="002938B1"/>
    <w:rsid w:val="002A3F41"/>
    <w:rsid w:val="002B02AD"/>
    <w:rsid w:val="002B10F8"/>
    <w:rsid w:val="002C193B"/>
    <w:rsid w:val="002D4A91"/>
    <w:rsid w:val="002E5B7B"/>
    <w:rsid w:val="00312C9D"/>
    <w:rsid w:val="00315304"/>
    <w:rsid w:val="003201AB"/>
    <w:rsid w:val="003229DB"/>
    <w:rsid w:val="00327202"/>
    <w:rsid w:val="00333591"/>
    <w:rsid w:val="00346382"/>
    <w:rsid w:val="003469BC"/>
    <w:rsid w:val="00352BEF"/>
    <w:rsid w:val="0036629D"/>
    <w:rsid w:val="00366B18"/>
    <w:rsid w:val="00373BFE"/>
    <w:rsid w:val="00377188"/>
    <w:rsid w:val="00382AD0"/>
    <w:rsid w:val="00385A3B"/>
    <w:rsid w:val="003938D4"/>
    <w:rsid w:val="003A48F5"/>
    <w:rsid w:val="003B1988"/>
    <w:rsid w:val="003B221F"/>
    <w:rsid w:val="003C101F"/>
    <w:rsid w:val="003C74E7"/>
    <w:rsid w:val="003D667F"/>
    <w:rsid w:val="003F1F0D"/>
    <w:rsid w:val="003F2F9F"/>
    <w:rsid w:val="003F56D2"/>
    <w:rsid w:val="004011A4"/>
    <w:rsid w:val="00424D40"/>
    <w:rsid w:val="00426BAA"/>
    <w:rsid w:val="00432FAD"/>
    <w:rsid w:val="00440852"/>
    <w:rsid w:val="00440945"/>
    <w:rsid w:val="00440995"/>
    <w:rsid w:val="00461A10"/>
    <w:rsid w:val="00462673"/>
    <w:rsid w:val="00463AE2"/>
    <w:rsid w:val="00472753"/>
    <w:rsid w:val="004749AC"/>
    <w:rsid w:val="004A3E1E"/>
    <w:rsid w:val="004A784F"/>
    <w:rsid w:val="004C5847"/>
    <w:rsid w:val="004C5E96"/>
    <w:rsid w:val="004D2C3B"/>
    <w:rsid w:val="004D6519"/>
    <w:rsid w:val="004E4F10"/>
    <w:rsid w:val="004F1E6E"/>
    <w:rsid w:val="004F6904"/>
    <w:rsid w:val="005005AA"/>
    <w:rsid w:val="00511FA8"/>
    <w:rsid w:val="00512E82"/>
    <w:rsid w:val="0051364A"/>
    <w:rsid w:val="00531147"/>
    <w:rsid w:val="00534301"/>
    <w:rsid w:val="0055656B"/>
    <w:rsid w:val="00560E4B"/>
    <w:rsid w:val="005618DA"/>
    <w:rsid w:val="005633C8"/>
    <w:rsid w:val="005A02E6"/>
    <w:rsid w:val="005A205E"/>
    <w:rsid w:val="005A21F4"/>
    <w:rsid w:val="005A66EC"/>
    <w:rsid w:val="005B11DF"/>
    <w:rsid w:val="005E48E2"/>
    <w:rsid w:val="005F11C9"/>
    <w:rsid w:val="005F50C8"/>
    <w:rsid w:val="0060322E"/>
    <w:rsid w:val="00634120"/>
    <w:rsid w:val="00641F89"/>
    <w:rsid w:val="0066613A"/>
    <w:rsid w:val="006939F8"/>
    <w:rsid w:val="00693D58"/>
    <w:rsid w:val="0069585A"/>
    <w:rsid w:val="006B78BD"/>
    <w:rsid w:val="006C491D"/>
    <w:rsid w:val="006C7CCB"/>
    <w:rsid w:val="006D0730"/>
    <w:rsid w:val="006F2D11"/>
    <w:rsid w:val="006F3078"/>
    <w:rsid w:val="00700A11"/>
    <w:rsid w:val="00730A60"/>
    <w:rsid w:val="007405E4"/>
    <w:rsid w:val="00740BC7"/>
    <w:rsid w:val="00742610"/>
    <w:rsid w:val="00764C2E"/>
    <w:rsid w:val="00772BEE"/>
    <w:rsid w:val="00773091"/>
    <w:rsid w:val="007820DB"/>
    <w:rsid w:val="0078721D"/>
    <w:rsid w:val="007A0FDF"/>
    <w:rsid w:val="007A5718"/>
    <w:rsid w:val="007A7ECA"/>
    <w:rsid w:val="007B1149"/>
    <w:rsid w:val="007B1B6D"/>
    <w:rsid w:val="007C142B"/>
    <w:rsid w:val="007C430C"/>
    <w:rsid w:val="007E16B5"/>
    <w:rsid w:val="007E1739"/>
    <w:rsid w:val="0080426E"/>
    <w:rsid w:val="008135A8"/>
    <w:rsid w:val="0081421D"/>
    <w:rsid w:val="00844DBA"/>
    <w:rsid w:val="008457E7"/>
    <w:rsid w:val="00847760"/>
    <w:rsid w:val="00861F1B"/>
    <w:rsid w:val="008642D1"/>
    <w:rsid w:val="00890B42"/>
    <w:rsid w:val="008C454C"/>
    <w:rsid w:val="008D1F29"/>
    <w:rsid w:val="008D2B4B"/>
    <w:rsid w:val="008D4A2C"/>
    <w:rsid w:val="00903301"/>
    <w:rsid w:val="0090387E"/>
    <w:rsid w:val="009132C1"/>
    <w:rsid w:val="00915A30"/>
    <w:rsid w:val="009216E6"/>
    <w:rsid w:val="00946C7B"/>
    <w:rsid w:val="0095538D"/>
    <w:rsid w:val="00993314"/>
    <w:rsid w:val="009B1B51"/>
    <w:rsid w:val="009C25C5"/>
    <w:rsid w:val="00A07567"/>
    <w:rsid w:val="00A1349C"/>
    <w:rsid w:val="00A15E5D"/>
    <w:rsid w:val="00A17636"/>
    <w:rsid w:val="00A7174B"/>
    <w:rsid w:val="00A740F5"/>
    <w:rsid w:val="00A745DF"/>
    <w:rsid w:val="00A81DCC"/>
    <w:rsid w:val="00A87C9D"/>
    <w:rsid w:val="00A94449"/>
    <w:rsid w:val="00A959C7"/>
    <w:rsid w:val="00AB3E8E"/>
    <w:rsid w:val="00AC753B"/>
    <w:rsid w:val="00AE4F25"/>
    <w:rsid w:val="00AF4168"/>
    <w:rsid w:val="00AF60B7"/>
    <w:rsid w:val="00B00E1B"/>
    <w:rsid w:val="00B03CAE"/>
    <w:rsid w:val="00B07955"/>
    <w:rsid w:val="00B12F51"/>
    <w:rsid w:val="00B25AC3"/>
    <w:rsid w:val="00B35EEF"/>
    <w:rsid w:val="00B43AB5"/>
    <w:rsid w:val="00B5577E"/>
    <w:rsid w:val="00B62536"/>
    <w:rsid w:val="00B865EC"/>
    <w:rsid w:val="00BB3ED3"/>
    <w:rsid w:val="00BC4CCD"/>
    <w:rsid w:val="00BE6D57"/>
    <w:rsid w:val="00BF3867"/>
    <w:rsid w:val="00BF42C1"/>
    <w:rsid w:val="00BF6AD9"/>
    <w:rsid w:val="00BF7B67"/>
    <w:rsid w:val="00C16DB7"/>
    <w:rsid w:val="00C267ED"/>
    <w:rsid w:val="00C56CCC"/>
    <w:rsid w:val="00C63B8C"/>
    <w:rsid w:val="00C7722F"/>
    <w:rsid w:val="00C82978"/>
    <w:rsid w:val="00C82989"/>
    <w:rsid w:val="00C87602"/>
    <w:rsid w:val="00CB045C"/>
    <w:rsid w:val="00CC0EBA"/>
    <w:rsid w:val="00CC1B11"/>
    <w:rsid w:val="00CE6CF2"/>
    <w:rsid w:val="00CE7194"/>
    <w:rsid w:val="00D016B7"/>
    <w:rsid w:val="00D03759"/>
    <w:rsid w:val="00D06E45"/>
    <w:rsid w:val="00D312DA"/>
    <w:rsid w:val="00D408C6"/>
    <w:rsid w:val="00D45EEE"/>
    <w:rsid w:val="00D546EB"/>
    <w:rsid w:val="00D56970"/>
    <w:rsid w:val="00D65D38"/>
    <w:rsid w:val="00D74176"/>
    <w:rsid w:val="00D77924"/>
    <w:rsid w:val="00D80029"/>
    <w:rsid w:val="00D8426B"/>
    <w:rsid w:val="00D93D7A"/>
    <w:rsid w:val="00D9709F"/>
    <w:rsid w:val="00DB7289"/>
    <w:rsid w:val="00DC4A89"/>
    <w:rsid w:val="00DE0E30"/>
    <w:rsid w:val="00DF7DE1"/>
    <w:rsid w:val="00E01684"/>
    <w:rsid w:val="00E14D9B"/>
    <w:rsid w:val="00E30266"/>
    <w:rsid w:val="00E44EA0"/>
    <w:rsid w:val="00E7512A"/>
    <w:rsid w:val="00E84B44"/>
    <w:rsid w:val="00E8554B"/>
    <w:rsid w:val="00E97568"/>
    <w:rsid w:val="00EB035D"/>
    <w:rsid w:val="00ED6309"/>
    <w:rsid w:val="00EF27D2"/>
    <w:rsid w:val="00EF538D"/>
    <w:rsid w:val="00F01124"/>
    <w:rsid w:val="00F0114B"/>
    <w:rsid w:val="00F03449"/>
    <w:rsid w:val="00F04D36"/>
    <w:rsid w:val="00F10EFE"/>
    <w:rsid w:val="00F128FE"/>
    <w:rsid w:val="00F16629"/>
    <w:rsid w:val="00F30D5E"/>
    <w:rsid w:val="00F509B5"/>
    <w:rsid w:val="00F659E7"/>
    <w:rsid w:val="00F73130"/>
    <w:rsid w:val="00F76180"/>
    <w:rsid w:val="00FD1555"/>
    <w:rsid w:val="00FE5660"/>
    <w:rsid w:val="00FE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7E629"/>
  <w15:chartTrackingRefBased/>
  <w15:docId w15:val="{F64E6369-12B6-433F-9E57-5743BAE8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C43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C4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30C"/>
  </w:style>
  <w:style w:type="paragraph" w:styleId="Stopka">
    <w:name w:val="footer"/>
    <w:basedOn w:val="Normalny"/>
    <w:link w:val="StopkaZnak"/>
    <w:uiPriority w:val="99"/>
    <w:unhideWhenUsed/>
    <w:rsid w:val="007C4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30C"/>
  </w:style>
  <w:style w:type="character" w:styleId="Hipercze">
    <w:name w:val="Hyperlink"/>
    <w:uiPriority w:val="99"/>
    <w:unhideWhenUsed/>
    <w:rsid w:val="007C430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1D5A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A1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D5A1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A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5A11"/>
    <w:rPr>
      <w:b/>
      <w:bCs/>
      <w:lang w:eastAsia="en-US"/>
    </w:rPr>
  </w:style>
  <w:style w:type="paragraph" w:styleId="Poprawka">
    <w:name w:val="Revision"/>
    <w:hidden/>
    <w:uiPriority w:val="99"/>
    <w:semiHidden/>
    <w:rsid w:val="00534301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A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AE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AE6"/>
    <w:rPr>
      <w:vertAlign w:val="superscript"/>
    </w:rPr>
  </w:style>
  <w:style w:type="character" w:styleId="Uwydatnienie">
    <w:name w:val="Emphasis"/>
    <w:uiPriority w:val="20"/>
    <w:qFormat/>
    <w:rsid w:val="002855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5090</CharactersWithSpaces>
  <SharedDoc>false</SharedDoc>
  <HLinks>
    <vt:vector size="12" baseType="variant">
      <vt:variant>
        <vt:i4>458875</vt:i4>
      </vt:variant>
      <vt:variant>
        <vt:i4>3</vt:i4>
      </vt:variant>
      <vt:variant>
        <vt:i4>0</vt:i4>
      </vt:variant>
      <vt:variant>
        <vt:i4>5</vt:i4>
      </vt:variant>
      <vt:variant>
        <vt:lpwstr>mailto:bartosz.sosnowka@dwapiar.pl</vt:lpwstr>
      </vt:variant>
      <vt:variant>
        <vt:lpwstr/>
      </vt:variant>
      <vt:variant>
        <vt:i4>8257658</vt:i4>
      </vt:variant>
      <vt:variant>
        <vt:i4>0</vt:i4>
      </vt:variant>
      <vt:variant>
        <vt:i4>0</vt:i4>
      </vt:variant>
      <vt:variant>
        <vt:i4>5</vt:i4>
      </vt:variant>
      <vt:variant>
        <vt:lpwstr>http://www.faktoring.bnpparibas.pl/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Sosnek</dc:creator>
  <cp:keywords/>
  <cp:lastModifiedBy>Bart Sosnek</cp:lastModifiedBy>
  <cp:revision>2</cp:revision>
  <dcterms:created xsi:type="dcterms:W3CDTF">2024-12-03T13:27:00Z</dcterms:created>
  <dcterms:modified xsi:type="dcterms:W3CDTF">2024-12-03T13:27:00Z</dcterms:modified>
</cp:coreProperties>
</file>